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02:53 МСК · База обновлена: 29.08.2026, 02:48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9 лет 8 месяцев пришли на прием к радиотерапевту.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 настоящий момент не беспокоят.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госпитализирована в детскую краевую больницу. По данным МРТ определяется объемное образование в IV желудочке. Пациент переведен в хирургическое отделение. Выполнена операция: удаление опухоли IV желудочка и червя мозжечка под контролем нейромониторинга. Гистологическое заключение, выполненное в экспертной лаборатории, позволило установить морфологический диагноз: гистологическая картина и иммунофенотип соответствуют классической̆ медуллобластоме, WHO CNS 2021 grade 4.</w:t>
      </w:r>
    </w:p>
    <w:p>
      <w:pPr>
        <w:spacing w:after="58"/>
      </w:pPr>
      <w:r>
        <w:rPr>
          <w:b w:val="0"/>
          <w:i w:val="0"/>
        </w:rPr>
        <w:t>При цитологическом исследовании ликвора через 15 дней после оперативного лечения опухолевых клеток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 3-й беременности, 2-х родов на 39-й неделе путем кесарева сечения. Вес при рождении 3200 г, рост 54 см, по Апгар 8/9 б. Рост и развитие по возрасту. На диспансерном учете не состоит. Травмы отрицает, операции - удаление опухоли IV желудочка.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Температура – 36,2ºС. Самочувствие не страдает. Ребенок вялый. Кожные покровы и видимые слизистые нормального цвета.</w:t>
      </w:r>
    </w:p>
    <w:p>
      <w:pPr>
        <w:spacing w:after="58"/>
      </w:pPr>
      <w:r>
        <w:rPr>
          <w:b w:val="0"/>
          <w:i w:val="0"/>
        </w:rPr>
        <w:t>Лимфоузлы не увеличены. Видимых периферических отёков нет.</w:t>
      </w:r>
    </w:p>
    <w:p>
      <w:pPr>
        <w:spacing w:after="58"/>
      </w:pPr>
      <w:r>
        <w:rPr>
          <w:b w:val="0"/>
          <w:i w:val="0"/>
        </w:rPr>
        <w:t>Носовое дыхание не затруднено. В легких аускультативно дыхание везикулярное, проводится во все отделы, хрипов нет. ЧД ‒ 22/мин, ЧСС ‒ 100/мин, АД ‒ 110/70 мм.</w:t>
      </w:r>
    </w:p>
    <w:p>
      <w:pPr>
        <w:spacing w:after="58"/>
      </w:pPr>
      <w:r>
        <w:rPr>
          <w:b w:val="0"/>
          <w:i w:val="0"/>
        </w:rPr>
        <w:t>Тоны сердца ясные, ритмичные, тахикардия, выслушивается систолический шум на верхушке.</w:t>
      </w:r>
    </w:p>
    <w:p>
      <w:pPr>
        <w:spacing w:after="58"/>
      </w:pPr>
      <w:r>
        <w:rPr>
          <w:b w:val="0"/>
          <w:i w:val="0"/>
        </w:rPr>
        <w:t>Живот при пальпации мягкий, безболезненный. Печень + 1 см, селезёнка – у края реберной дуги.</w:t>
      </w:r>
    </w:p>
    <w:p>
      <w:pPr>
        <w:spacing w:after="58"/>
      </w:pPr>
      <w:r>
        <w:rPr>
          <w:b w:val="0"/>
          <w:i w:val="0"/>
        </w:rPr>
        <w:t>Неврологический статус: выявляется общемозговая и гипертензионная симптоматика в виде периодической головной боли, тошноты и рвоты. Умеренные статико-динамические нарушения по типу мозжечковой атаксии, координаторные нарушения. Стволовая симптоматика представлена горизонтальным нистагмом, недостаточностью отводящих нервов с двух сторон, недостаточностью 7 нерва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исследования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ПЭТ-КТ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спинного мозга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до операции и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ПЭТ-КТ всего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МРТ спинного мозга с контрастным усилением</w:t>
      </w:r>
      <w:r>
        <w:br/>
      </w:r>
      <w:r>
        <w:rPr>
          <w:b/>
          <w:i w:val="0"/>
        </w:rPr>
        <w:t>3 - МРТ головного мозга с контрастным усилением до операции и после операции</w:t>
      </w:r>
    </w:p>
    <w:p>
      <w:pPr>
        <w:spacing w:after="58"/>
      </w:pPr>
      <w:r>
        <w:rPr>
          <w:b w:val="0"/>
          <w:i w:val="0"/>
        </w:rPr>
        <w:t>При подозрении на опухоль ЦНС с риском диссеминации по оболочкам головного и спинного мозга (медуллобластома, пинеобластома, первичные герминативно-клеточные опухоли ЦНС и др.),рекомендовано выполнить МРТ головного мозга, МРТ головного мозга с контрастированием, МРТ спинного мозга и МРТ спинного мозга с контрастированием в сагиттальной, фронтальной проекциях и дополнительно в аксиальной проекции в зоне выявленных опухолевых очагов.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Пациентам с опухолями ЦНС рекомендовано проводить МРТ головного мозга без контрастирования и с контрастированием в 3 проекциях в стандартных режимах (Т1, Т2, T2-FLAIR, Т1 + контраст) для оценки состояния тканей мозга.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 дополнительно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врача-офтальмолога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посев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консультацию оториноларинголога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наличия мутаций C-MYC, N-MYC,WNT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консультацию врача-офтальмолога</w:t>
      </w:r>
      <w:r>
        <w:br/>
      </w:r>
      <w:r>
        <w:rPr>
          <w:b/>
          <w:i w:val="0"/>
        </w:rPr>
        <w:t>6 - определение наличия мутаций C-MYC, N-MYC,WNT</w:t>
      </w:r>
    </w:p>
    <w:p>
      <w:pPr>
        <w:spacing w:after="58"/>
      </w:pPr>
      <w:r>
        <w:rPr>
          <w:b w:val="0"/>
          <w:i w:val="0"/>
        </w:rPr>
        <w:t>Пациентам с опухолями ЦНС рекомендован прием (осмотр, консультация) врача-офтальмолога первичный на предмет глазодвигательных, зрительных нарушений, а также для оценки признаков внутричерепной гипертензии на глазном дне.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уточнения прогноза при медуллобластомах целесообразно определение молекулярно-генетических подтипов опухоли (WNT, SHH, Group 3 (C) Group 4 (D)).</w:t>
      </w:r>
    </w:p>
    <w:p>
      <w:pPr>
        <w:spacing w:after="58"/>
      </w:pPr>
      <w:r>
        <w:rPr>
          <w:b w:val="0"/>
          <w:i w:val="0"/>
        </w:rPr>
        <w:t>Наличие амплификации гена C-MYC, N-MYC является прогностически неблагоприятным фактором, требует больших доз краниоспинального облучения.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анамнеза, осмотра и результатов обследования основной диагноз и стадию болезни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Медуллобластома,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1</w:t>
      </w:r>
      <w:r>
        <w:rPr>
          <w:b w:val="0"/>
          <w:i w:val="0"/>
        </w:rPr>
        <w:t>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Медуллобластома, стадия Ib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Медуллобластома,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 xml:space="preserve"> (WHO grade 4),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Медуллобластома, (WHO grade 4),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Медуллобластома, классический вариант R</w:t>
      </w:r>
      <w:r>
        <w:rPr>
          <w:b/>
          <w:i w:val="0"/>
          <w:vertAlign w:val="subscript"/>
        </w:rPr>
        <w:t>0</w:t>
      </w:r>
      <w:r>
        <w:rPr>
          <w:b/>
          <w:i w:val="0"/>
        </w:rPr>
        <w:t>M</w:t>
      </w:r>
      <w:r>
        <w:rPr>
          <w:b/>
          <w:i w:val="0"/>
          <w:vertAlign w:val="subscript"/>
        </w:rPr>
        <w:t>0</w:t>
      </w:r>
      <w:r>
        <w:rPr>
          <w:b/>
          <w:i w:val="0"/>
        </w:rPr>
        <w:t xml:space="preserve"> (WHO grade 4), амплификация гена C-MYC</w:t>
      </w:r>
    </w:p>
    <w:p>
      <w:pPr>
        <w:spacing w:after="58"/>
      </w:pPr>
      <w:r>
        <w:rPr>
          <w:b w:val="0"/>
          <w:i w:val="0"/>
        </w:rPr>
        <w:t>Диагноз поставлен на основании:</w:t>
      </w:r>
    </w:p>
    <w:p>
      <w:pPr>
        <w:spacing w:after="58"/>
      </w:pPr>
      <w:r>
        <w:rPr>
          <w:b w:val="0"/>
          <w:i w:val="0"/>
        </w:rPr>
        <w:t>Анамнеза заболевания: 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 в ОДКБ. Пациент переведен в хирургическое отделение для проведения оперативного лечения. Выполнена операция: удаление опухоли IV желудочка и червя мозжечка под контролем нейромониторинга.</w:t>
      </w:r>
    </w:p>
    <w:p>
      <w:pPr>
        <w:spacing w:after="58"/>
      </w:pPr>
      <w:r>
        <w:rPr>
          <w:b w:val="0"/>
          <w:i w:val="0"/>
        </w:rPr>
        <w:t>Данных лабораторных и инструментальных методов исследования, оперативного лечения и гистологического заключения:</w:t>
      </w:r>
    </w:p>
    <w:p>
      <w:pPr>
        <w:spacing w:after="58"/>
      </w:pPr>
      <w:r>
        <w:rPr>
          <w:b w:val="0"/>
          <w:i w:val="0"/>
        </w:rPr>
        <w:t>МРТ головного мозга с контрастным усилением до операции: МР картина опухоли IV-го желудочка и червя мозжечка (медуллобластома). Внутренняя (окклюзионная) гидроцефалия. Отсутствие метастатического поражения оболочек и вещества головного мозга;</w:t>
      </w:r>
    </w:p>
    <w:p>
      <w:pPr>
        <w:spacing w:after="58"/>
      </w:pPr>
      <w:r>
        <w:rPr>
          <w:b w:val="0"/>
          <w:i w:val="0"/>
        </w:rPr>
        <w:t>МРТ головного мозга с контрастным усилением после операции: Послеоперационные изменения, без убедительных признаков наличия остаточной опухолевой ткани. Внутренняя гидроцефалия.</w:t>
      </w:r>
    </w:p>
    <w:p>
      <w:pPr>
        <w:spacing w:after="58"/>
      </w:pPr>
      <w:r>
        <w:rPr>
          <w:b w:val="0"/>
          <w:i w:val="0"/>
        </w:rPr>
        <w:t>МРТ спинного мозга: Данных за патологические изменения в спинном мозге не выявлено.</w:t>
      </w:r>
    </w:p>
    <w:p>
      <w:pPr>
        <w:spacing w:after="58"/>
      </w:pPr>
      <w:r>
        <w:rPr>
          <w:b w:val="0"/>
          <w:i w:val="0"/>
        </w:rPr>
        <w:t>Оперативное вмешательство: Удаление опухоли IV желудочка и червя мозжечка под контролем нейромониторинга.</w:t>
      </w:r>
    </w:p>
    <w:p>
      <w:pPr>
        <w:spacing w:after="58"/>
      </w:pPr>
      <w:r>
        <w:rPr>
          <w:b w:val="0"/>
          <w:i w:val="0"/>
        </w:rPr>
        <w:t>Гистологическое заключение: гистологическая картина и иммунофенотип соответствуют классической Медуллобластоме, WHO CNS 2021 grade 4.</w:t>
      </w:r>
    </w:p>
    <w:p>
      <w:pPr>
        <w:spacing w:after="58"/>
      </w:pPr>
      <w:r>
        <w:rPr>
          <w:b w:val="0"/>
          <w:i w:val="0"/>
        </w:rPr>
        <w:t>Цитогенетическое исследование: обнаружена амплификация гена C-MYC.</w:t>
      </w:r>
    </w:p>
    <w:p>
      <w:pPr>
        <w:spacing w:after="58"/>
      </w:pPr>
      <w:r>
        <w:rPr>
          <w:b w:val="0"/>
          <w:i w:val="0"/>
        </w:rPr>
        <w:t>Люмбальная пункция - атипичные клетки не выявлены.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Тактика ведения данного пациента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 лечение (лучевая терапия + химиотерапия)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 необходимости в дальнейшей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лучевую 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комбинированное лечение (лучевая терапия + химиотерапия)</w:t>
      </w:r>
    </w:p>
    <w:p>
      <w:pPr>
        <w:spacing w:after="58"/>
      </w:pPr>
      <w:r>
        <w:rPr>
          <w:b w:val="0"/>
          <w:i w:val="0"/>
        </w:rPr>
        <w:t>Краниоспинальное облучение выполняется у пациентов старше 3-х лет при эмбриональных опухолях;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 C-MYC, N-MYC рекомендовано краниоспинальное облучение с последующим бустом на заднюю черепную ямку.</w:t>
      </w:r>
    </w:p>
    <w:p>
      <w:pPr>
        <w:spacing w:after="58"/>
      </w:pPr>
      <w:r>
        <w:rPr>
          <w:b w:val="0"/>
          <w:i w:val="0"/>
        </w:rPr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Тактика проведения лучевой терапии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паллиативную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локальную лучевую терапию на ложе опухоли по радикальной программе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краниоспинальное облучение с бустом на заднюю черепную ямку (ЗЧЯ)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краниоспинальное облучение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краниоспинальное облучение с бустом на заднюю черепную ямку (ЗЧЯ)</w:t>
      </w:r>
    </w:p>
    <w:p>
      <w:pPr>
        <w:spacing w:after="58"/>
      </w:pPr>
      <w:r>
        <w:rPr>
          <w:b w:val="0"/>
          <w:i w:val="0"/>
        </w:rPr>
        <w:t>Учитывая гистологическое заключение, оперативное лечение в объеме R0 резекции, а также стадию заболевания M0, выявленной амплификацией C-MYC, N-MYC пациенту показано проведение краниоспинального облучения с бустом на заднюю черепную ямку.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r>
        <w:rPr>
          <w:b w:val="0"/>
          <w:i w:val="0"/>
        </w:rPr>
        <w:t>У пациентов с амплификацией C-MYC, N-MYC, рекомендована 3D-конформная лучевая терапия, краниоспинальное облучение c бустом на заднюю черепную ямку с параллельной химиотерапией: винкристин 1,5 мг/м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еженедельно.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Начало локальной лучевой терапии после операции должно быть осуществлено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6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4-х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позднее 62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8 недель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течение 4-х недель</w:t>
      </w:r>
    </w:p>
    <w:p>
      <w:pPr>
        <w:spacing w:after="58"/>
      </w:pPr>
      <w:r>
        <w:rPr>
          <w:b w:val="0"/>
          <w:i w:val="0"/>
        </w:rPr>
        <w:t>Для всех пациентов с медуллобластомой старше 3 лет без метастазов лучевая терапия должна быть начата менее, чем через 4 недели после операции.</w:t>
      </w:r>
    </w:p>
    <w:p>
      <w:pPr>
        <w:spacing w:after="58"/>
      </w:pPr>
      <w:r>
        <w:rPr>
          <w:b w:val="0"/>
          <w:i w:val="0"/>
        </w:rPr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Необходимым исследованием для планирования и проведения лучевой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и 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головного мозга с контрастным усилением и разметочная компьютерная топометрия</w:t>
      </w:r>
    </w:p>
    <w:p>
      <w:pPr>
        <w:spacing w:after="58"/>
      </w:pPr>
      <w:r>
        <w:rPr>
          <w:b w:val="0"/>
          <w:i w:val="0"/>
        </w:rPr>
        <w:t>При планировании ЛТ для уточнения границ остаточной опухоли пациентам рекомендовано использовать данные МРТ головного мозга с контрастированием, а также при необходимости позитронная эмиссионная томография (ПЭТ) для выявления воспалительных очагов , ПЭТ совмещенная с КТ (ПЭТ/КТ головного мозга, в том числе с введением контрастного вещества, ПЭТ/КТ с туморотропными РФП, в том числе с контрастированием . Объем видимой опухоли (GTV) и клинический объем опухоли (CTV) определяются видом и степенью злокачественности опухоли. Отступ на планируемый объем опухоли (PTV) определяется в соответствии с характеристиками аппарата, системы фиксации и навигации.</w:t>
      </w:r>
    </w:p>
    <w:p>
      <w:pPr>
        <w:spacing w:after="58"/>
      </w:pPr>
      <w:r>
        <w:rPr>
          <w:b w:val="0"/>
          <w:i w:val="0"/>
        </w:rPr>
        <w:t>При планировании облучения пациентов с опухолями ЦНС проводят разметку с помощью топометриеи компьютерно-томографической, при возможности применяют индивидуальное фиксирующее устройство – термопластическую маску.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Краниоспинальная ось будет в себя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объем головного мозга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заднюю черепную ямку и весь объем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объем головного и спинного мозга, дуральный мешок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весь объем головного и спинного мозга, дуральный мешок</w:t>
      </w:r>
    </w:p>
    <w:p>
      <w:pPr>
        <w:spacing w:after="58"/>
      </w:pPr>
      <w:r>
        <w:rPr>
          <w:b w:val="0"/>
          <w:i w:val="0"/>
        </w:rPr>
        <w:t>Клинический объем мишени (КОМ) для краниоспинального облучения включает в себя головной мозг целиком, а также спинной мозг и дуральный мешок, поскольку метастазирование опухоли возможно не только в вещество головного и спинного мозга, но и в оболочки, их покрывающие. 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КОМ (Клинический Объем Мишени) полного объема головного мозга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головной мозг, включающий лобные доли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головной мозг, включающий весь объем лобных долей, зрительные нервы и область решетчатой пластинки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весь головной мозг, включающий весь объем лобных долей, зрительные нервы и область решетчатой пластинки</w:t>
      </w:r>
    </w:p>
    <w:p>
      <w:pPr>
        <w:spacing w:after="58"/>
      </w:pPr>
      <w:r>
        <w:rPr>
          <w:b w:val="0"/>
          <w:i w:val="0"/>
        </w:rPr>
        <w:t>Клинический объем мишени, включающий в себя весь головной мозг, в переднем направлении должен распространяться так, чтобы полностью включать лобные доли и область решетчатой пластинки. Так как нужно включить в Клинический объем мишени решетчатую ямку и предусмотреть дополнительный подходящий отступ для планируемого объема мишени (ПОМ), край поля (то есть геометрический край экранирующего блока) во многих случаях включает хрусталики.</w:t>
      </w:r>
    </w:p>
    <w:p>
      <w:pPr>
        <w:spacing w:after="58"/>
      </w:pPr>
      <w:r>
        <w:rPr>
          <w:b w:val="0"/>
          <w:i w:val="0"/>
        </w:rPr>
        <w:t>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КОМ (Клинический Объем Мишени) спинального объема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спинной мозг + дуральный мешок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спинной мозг (уровень L1-2)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позвоночный канал до уровня 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позвоночный канал до нижнего края текального мешка по МРТ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позвоночный канал до нижнего края текального мешка по МРТ</w:t>
      </w:r>
    </w:p>
    <w:p>
      <w:pPr>
        <w:spacing w:after="58"/>
      </w:pPr>
      <w:r>
        <w:rPr>
          <w:b w:val="0"/>
          <w:i w:val="0"/>
        </w:rPr>
        <w:t>Спинальное поле должно распространяться вверх так, чтобы точно соответствовать границе с нижними краями краниальных полей.</w:t>
      </w:r>
    </w:p>
    <w:p>
      <w:pPr>
        <w:spacing w:after="58"/>
      </w:pPr>
      <w:r>
        <w:rPr>
          <w:b w:val="0"/>
          <w:i w:val="0"/>
        </w:rPr>
        <w:t>Нижний край спинального клинического объема мишени должен определяться по результатам визуализации нижнего края текального мешка на МРТ позвоночника, проведенном в ходе стадирования. Край облучаемого поля должен быть установлен на 1 см ниже самой нижней точки текального мешка по данным МРТ-визуализации.</w:t>
      </w:r>
    </w:p>
    <w:p>
      <w:pPr>
        <w:spacing w:after="58"/>
      </w:pPr>
      <w:r>
        <w:rPr>
          <w:b w:val="0"/>
          <w:i w:val="0"/>
        </w:rPr>
        <w:t>В объем необходимо включить все подпаутинное пространство, включая участки его распространения вдоль нервных корешков до межпозвонковых отверстий.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Суммарная доза, предписываемая на краниоспинальную ось, должна составлять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23,4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3 - 35,2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амплификациейC-MYC, N-MY, рекомендована 3D-конформная ЛТ с повышенной дозой КСО 35,2 Гр.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Суммарная доза, предписываемая на заднюю черепную ямку, должна составлять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59,4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54-55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4 - 54-55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 C-MYC, N-MY, рекомендована 3D-конформная лучевая терапия с повышенной дозой краниоспинального облучения 35,2 Гр с бустом на заднюю черепную ямку (ЗЧЯ) 19,8 Гр (55 Гр.)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585_2/" TargetMode="External"/><Relationship Id="rId22" Type="http://schemas.openxmlformats.org/officeDocument/2006/relationships/hyperlink" Target="https://library.mededtech.ru/rest/documents/KP585_2/#list_item_iv8jhf" TargetMode="External"/><Relationship Id="rId23" Type="http://schemas.openxmlformats.org/officeDocument/2006/relationships/hyperlink" Target="https://library.mededtech.ru/rest/documents/KP585_2/#list_item_pogsur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585_2/#list_item_6uqjna" TargetMode="External"/><Relationship Id="rId27" Type="http://schemas.openxmlformats.org/officeDocument/2006/relationships/hyperlink" Target="https://library.mededtech.ru/rest/documents/KP585_2/#list_item_5vs1ac" TargetMode="External"/><Relationship Id="rId28" Type="http://schemas.openxmlformats.org/officeDocument/2006/relationships/hyperlink" Target="https://library.mededtech.ru/rest/documents/KP585_2/#list_item_5cd0kb" TargetMode="External"/><Relationship Id="rId29" Type="http://schemas.openxmlformats.org/officeDocument/2006/relationships/hyperlink" Target="https://library.mededtech.ru/rest/documents/KP585_2/#paragraph_7lgtlv" TargetMode="External"/><Relationship Id="rId30" Type="http://schemas.openxmlformats.org/officeDocument/2006/relationships/hyperlink" Target="https://library.mededtech.ru/rest/documents/KP585_2/#paragraph_en76nc" TargetMode="External"/><Relationship Id="rId31" Type="http://schemas.openxmlformats.org/officeDocument/2006/relationships/hyperlink" Target="https://library.mededtech.ru/rest/documents/KP585_2/#paragraph_6o63la" TargetMode="External"/><Relationship Id="rId32" Type="http://schemas.openxmlformats.org/officeDocument/2006/relationships/hyperlink" Target="https://library.mededtech.ru/rest/documents/KP585_2/#list_item_r4p75c" TargetMode="External"/><Relationship Id="rId33" Type="http://schemas.openxmlformats.org/officeDocument/2006/relationships/hyperlink" Target="https://library.mededtech.ru/rest/documents/cr_701/" TargetMode="External"/><Relationship Id="rId34" Type="http://schemas.openxmlformats.org/officeDocument/2006/relationships/hyperlink" Target="https://library.mededtech.ru/rest/documents/cr_701/#paragraph_v89op" TargetMode="External"/><Relationship Id="rId35" Type="http://schemas.openxmlformats.org/officeDocument/2006/relationships/hyperlink" Target="https://library.mededtech.ru/rest/documents/KP585_2/#list_item_mruung" TargetMode="External"/><Relationship Id="rId36" Type="http://schemas.openxmlformats.org/officeDocument/2006/relationships/hyperlink" Target="https://library.mededtech.ru/rest/documents/KP585_2/#paragraph_dsid17" TargetMode="External"/><Relationship Id="rId37" Type="http://schemas.openxmlformats.org/officeDocument/2006/relationships/hyperlink" Target="https://library.mededtech.ru/rest/documents/KP585_2/#list_item_odmd26" TargetMode="External"/><Relationship Id="rId38" Type="http://schemas.openxmlformats.org/officeDocument/2006/relationships/image" Target="media/image8.png"/><Relationship Id="rId39" Type="http://schemas.openxmlformats.org/officeDocument/2006/relationships/hyperlink" Target="https://library.mededtech.ru/rest/documents/KP585_2/#paragraph_2cgtg0" TargetMode="External"/><Relationship Id="rId40" Type="http://schemas.openxmlformats.org/officeDocument/2006/relationships/hyperlink" Target="https://library.mededtech.ru/rest/documents/cr_701/#list_item_tcsr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